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DD0" w14:textId="77777777" w:rsidR="0079597D" w:rsidRDefault="0079597D" w:rsidP="005B3712">
      <w:pPr>
        <w:pStyle w:val="Paragrafoelenco"/>
        <w:ind w:left="0" w:right="29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0101BBDC" w14:textId="0398A47A" w:rsidR="000B3210" w:rsidRDefault="00064B53" w:rsidP="005B3712">
      <w:pPr>
        <w:pStyle w:val="Paragrafoelenco"/>
        <w:ind w:left="0" w:right="29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Allegato </w:t>
      </w:r>
      <w:r w:rsidR="000B3210"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I</w:t>
      </w:r>
      <w:r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: </w:t>
      </w:r>
      <w:r w:rsidR="005B3712"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modello offerte miglio</w:t>
      </w:r>
      <w:r w:rsidR="000B3210"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r</w:t>
      </w:r>
      <w:r w:rsidR="005B3712"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i</w:t>
      </w:r>
      <w:r w:rsidR="000B3210" w:rsidRPr="007B79FB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e ON/OFF</w:t>
      </w:r>
    </w:p>
    <w:p w14:paraId="57892EBE" w14:textId="77777777" w:rsidR="006076EA" w:rsidRDefault="006076EA" w:rsidP="005B3712">
      <w:pPr>
        <w:pStyle w:val="Paragrafoelenco"/>
        <w:ind w:left="0" w:right="29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00FAD2C1" w14:textId="0B7454B0" w:rsidR="001017DD" w:rsidRDefault="001017DD" w:rsidP="005B3712">
      <w:pPr>
        <w:pStyle w:val="Paragrafoelenco"/>
        <w:ind w:left="0" w:right="29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13CAA998" w14:textId="77777777" w:rsidR="001017DD" w:rsidRPr="001017DD" w:rsidRDefault="001017DD" w:rsidP="001017D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240" w:after="60" w:line="360" w:lineRule="auto"/>
        <w:jc w:val="center"/>
        <w:outlineLvl w:val="1"/>
        <w:rPr>
          <w:rFonts w:ascii="Times New Roman" w:eastAsia="Calibri" w:hAnsi="Times New Roman" w:cs="Times New Roman"/>
          <w:i/>
          <w:caps/>
          <w:sz w:val="24"/>
          <w:szCs w:val="24"/>
          <w:lang w:val="it-IT" w:eastAsia="it-IT"/>
        </w:rPr>
      </w:pPr>
      <w:r w:rsidRPr="001017DD">
        <w:rPr>
          <w:rFonts w:ascii="Times New Roman" w:eastAsia="Calibri" w:hAnsi="Times New Roman" w:cs="Times New Roman"/>
          <w:i/>
          <w:caps/>
          <w:sz w:val="24"/>
          <w:szCs w:val="24"/>
          <w:lang w:val="it-IT" w:eastAsia="it-IT"/>
        </w:rPr>
        <w:t xml:space="preserve">appalto di lavori ai sensi dell’art.59, comma 1, terzo periodo, d.lgs. 50/16 AVENTE per oggetto l'esecuzione a corpo di tutte le opere e provviste occorrenti per realizzare e dare completamente ultimati i lavori di </w:t>
      </w:r>
      <w:r w:rsidRPr="001017DD">
        <w:rPr>
          <w:rFonts w:ascii="Times New Roman" w:eastAsia="Calibri" w:hAnsi="Times New Roman" w:cs="Times New Roman"/>
          <w:b/>
          <w:i/>
          <w:caps/>
          <w:sz w:val="24"/>
          <w:szCs w:val="24"/>
          <w:lang w:val="it-IT" w:eastAsia="it-IT"/>
        </w:rPr>
        <w:t xml:space="preserve">“Realizzazione di un nuovo polo scolastico a COSTIGLIOLE SALUZZO (CN), comprendente la scuola primaria, la scuola secondaria di primo grado e la palestra a servizio”, </w:t>
      </w:r>
      <w:r w:rsidRPr="001017DD">
        <w:rPr>
          <w:rFonts w:ascii="Times New Roman" w:eastAsia="Calibri" w:hAnsi="Times New Roman" w:cs="Times New Roman"/>
          <w:i/>
          <w:caps/>
          <w:sz w:val="24"/>
          <w:szCs w:val="24"/>
          <w:lang w:val="it-IT" w:eastAsia="it-IT"/>
        </w:rPr>
        <w:t>quali risultanti dal Progetto Esecutivo redatto in conformità all’art. 23, comma 8, d.lgs. 50/16, nonché agli artt. 33 e ss., dpr 207/10, validato dal RUP ai sensi dell’art. 26, comma 8, d.lgs. 50/16, approvato dal Comune DI COSTIGLIOLE SALUZZO e posto a base di gara e dettagliatamente descritte nel capitolato speciale di appalto-parte normativa e parte tecnica, parte integrante del progetto esecutivo posto a base di gara.</w:t>
      </w:r>
    </w:p>
    <w:p w14:paraId="08E1940C" w14:textId="77777777" w:rsidR="001017DD" w:rsidRPr="007B79FB" w:rsidRDefault="001017DD" w:rsidP="005B3712">
      <w:pPr>
        <w:pStyle w:val="Paragrafoelenco"/>
        <w:ind w:left="0" w:right="29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4DBEFB11" w14:textId="32B28B33" w:rsidR="002A3DF8" w:rsidRPr="00993A4B" w:rsidRDefault="002A3DF8" w:rsidP="002A3DF8">
      <w:pPr>
        <w:pStyle w:val="Corpotesto"/>
        <w:spacing w:before="7"/>
        <w:ind w:right="10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92FD12" w14:textId="77777777" w:rsidR="002A3DF8" w:rsidRPr="00993A4B" w:rsidRDefault="002A3DF8" w:rsidP="002A3DF8">
      <w:pPr>
        <w:pStyle w:val="Corpotesto"/>
        <w:spacing w:before="7"/>
        <w:ind w:right="10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C6D6BF" w14:textId="5CB2843E" w:rsidR="002A3DF8" w:rsidRPr="00993A4B" w:rsidRDefault="002A3DF8" w:rsidP="00CB6A1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W w:w="1375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75"/>
        <w:gridCol w:w="2278"/>
        <w:gridCol w:w="3250"/>
        <w:gridCol w:w="1559"/>
        <w:gridCol w:w="1569"/>
      </w:tblGrid>
      <w:tr w:rsidR="000B3210" w:rsidRPr="00CB6A12" w14:paraId="1A9438B7" w14:textId="77777777" w:rsidTr="000B3210">
        <w:trPr>
          <w:trHeight w:val="1116"/>
        </w:trPr>
        <w:tc>
          <w:tcPr>
            <w:tcW w:w="3119" w:type="dxa"/>
            <w:shd w:val="clear" w:color="auto" w:fill="D9D9D9"/>
          </w:tcPr>
          <w:p w14:paraId="7EF4EFF6" w14:textId="77777777" w:rsidR="000B3210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1^ </w:t>
            </w:r>
          </w:p>
          <w:p w14:paraId="05B7DFE0" w14:textId="0F20F8C9" w:rsidR="000B3210" w:rsidRPr="00CB6A12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COLONNA</w:t>
            </w:r>
          </w:p>
        </w:tc>
        <w:tc>
          <w:tcPr>
            <w:tcW w:w="1975" w:type="dxa"/>
            <w:shd w:val="clear" w:color="auto" w:fill="D9D9D9"/>
          </w:tcPr>
          <w:p w14:paraId="4A99F38B" w14:textId="77777777" w:rsidR="000B3210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2^ </w:t>
            </w:r>
          </w:p>
          <w:p w14:paraId="7A14599B" w14:textId="0ED2DDF7" w:rsidR="000B3210" w:rsidRPr="00CB6A12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COLONNA</w:t>
            </w:r>
          </w:p>
        </w:tc>
        <w:tc>
          <w:tcPr>
            <w:tcW w:w="2278" w:type="dxa"/>
            <w:shd w:val="clear" w:color="auto" w:fill="D9D9D9"/>
          </w:tcPr>
          <w:p w14:paraId="2C7B3CA9" w14:textId="77777777" w:rsidR="000B3210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3^</w:t>
            </w:r>
          </w:p>
          <w:p w14:paraId="79BE8937" w14:textId="63BEDEEE" w:rsidR="000B3210" w:rsidRPr="00CB6A12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COLONNA</w:t>
            </w:r>
          </w:p>
        </w:tc>
        <w:tc>
          <w:tcPr>
            <w:tcW w:w="3250" w:type="dxa"/>
            <w:shd w:val="clear" w:color="auto" w:fill="D9D9D9"/>
          </w:tcPr>
          <w:p w14:paraId="6A5EB95C" w14:textId="77777777" w:rsidR="000B3210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4^ </w:t>
            </w:r>
          </w:p>
          <w:p w14:paraId="1DA2F134" w14:textId="06C5B934" w:rsidR="000B3210" w:rsidRPr="00CB6A12" w:rsidRDefault="000B3210" w:rsidP="00CB6A1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COLONNA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5D3C59E3" w14:textId="7A4BF518" w:rsidR="000B3210" w:rsidRPr="00CB6A12" w:rsidRDefault="007D34AA" w:rsidP="00CB6A12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0B3210"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^ COLONNA</w:t>
            </w:r>
          </w:p>
        </w:tc>
        <w:tc>
          <w:tcPr>
            <w:tcW w:w="1569" w:type="dxa"/>
            <w:shd w:val="clear" w:color="auto" w:fill="D9D9D9"/>
          </w:tcPr>
          <w:p w14:paraId="6F513CBE" w14:textId="47C52D17" w:rsidR="000B3210" w:rsidRPr="00CB6A12" w:rsidRDefault="007D34AA" w:rsidP="007D34AA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0B3210" w:rsidRPr="00CB6A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^ COLONNA</w:t>
            </w:r>
          </w:p>
        </w:tc>
      </w:tr>
      <w:tr w:rsidR="000B3210" w:rsidRPr="007727C5" w14:paraId="721BCC96" w14:textId="77777777" w:rsidTr="000B3210">
        <w:trPr>
          <w:trHeight w:val="1116"/>
        </w:trPr>
        <w:tc>
          <w:tcPr>
            <w:tcW w:w="3119" w:type="dxa"/>
            <w:shd w:val="clear" w:color="auto" w:fill="FFC000"/>
          </w:tcPr>
          <w:p w14:paraId="1EB7D0A5" w14:textId="0ABC3EEE" w:rsidR="000B3210" w:rsidRPr="00993A4B" w:rsidRDefault="000B3210" w:rsidP="00DB3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47CD608" w14:textId="7A87A43C" w:rsidR="000B3210" w:rsidRPr="00993A4B" w:rsidRDefault="000B3210" w:rsidP="00DB31FA">
            <w:pPr>
              <w:pStyle w:val="TableParagraph"/>
              <w:spacing w:before="190"/>
              <w:ind w:left="122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</w:pPr>
            <w:r w:rsidRPr="00993A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  <w:t>parametri di valutazione di natura tabellare ON/OFF</w:t>
            </w:r>
            <w:r>
              <w:rPr>
                <w:rStyle w:val="Rimandonotaapidipagina"/>
                <w:rFonts w:ascii="Times New Roman" w:hAnsi="Times New Roman" w:cs="Times New Roman"/>
                <w:b/>
                <w:caps/>
                <w:sz w:val="24"/>
                <w:szCs w:val="24"/>
              </w:rPr>
              <w:footnoteReference w:id="1"/>
            </w:r>
            <w:r w:rsidRPr="00993A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  <w:t xml:space="preserve"> </w:t>
            </w:r>
          </w:p>
          <w:p w14:paraId="0CCC08CF" w14:textId="16E1901C" w:rsidR="000B3210" w:rsidRPr="00993A4B" w:rsidRDefault="000B3210" w:rsidP="00DB31FA">
            <w:pPr>
              <w:pStyle w:val="TableParagraph"/>
              <w:spacing w:before="190"/>
              <w:ind w:left="12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975" w:type="dxa"/>
            <w:shd w:val="clear" w:color="auto" w:fill="D9D9D9"/>
          </w:tcPr>
          <w:p w14:paraId="0A7AAFE4" w14:textId="77777777" w:rsidR="000B3210" w:rsidRPr="00993A4B" w:rsidRDefault="000B3210" w:rsidP="00DB31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FBA6445" w14:textId="77777777" w:rsidR="000B3210" w:rsidRPr="00AD78BB" w:rsidRDefault="000B3210" w:rsidP="00DB31FA">
            <w:pPr>
              <w:pStyle w:val="TableParagraph"/>
              <w:spacing w:before="190"/>
              <w:ind w:left="4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</w:rPr>
              <w:t>A BASE DI GARA</w:t>
            </w:r>
          </w:p>
        </w:tc>
        <w:tc>
          <w:tcPr>
            <w:tcW w:w="2278" w:type="dxa"/>
            <w:shd w:val="clear" w:color="auto" w:fill="D9D9D9"/>
          </w:tcPr>
          <w:p w14:paraId="79939C60" w14:textId="77777777" w:rsidR="000B3210" w:rsidRPr="00AD78BB" w:rsidRDefault="000B3210" w:rsidP="00020A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D8971" w14:textId="77777777" w:rsidR="000B3210" w:rsidRPr="00AD78BB" w:rsidRDefault="000B3210" w:rsidP="00020A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33A2D" w14:textId="0D83E607" w:rsidR="000B3210" w:rsidRPr="00AD78BB" w:rsidRDefault="000B3210" w:rsidP="00020A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</w:rPr>
              <w:t>Voci corrispondenti nel CME</w:t>
            </w:r>
          </w:p>
        </w:tc>
        <w:tc>
          <w:tcPr>
            <w:tcW w:w="3250" w:type="dxa"/>
            <w:shd w:val="clear" w:color="auto" w:fill="D9D9D9"/>
          </w:tcPr>
          <w:p w14:paraId="4CA56583" w14:textId="5B7154E8" w:rsidR="000B3210" w:rsidRPr="00AD78BB" w:rsidRDefault="000B3210" w:rsidP="00DB31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2025" w14:textId="77777777" w:rsidR="000B3210" w:rsidRPr="00AD78BB" w:rsidRDefault="000B3210" w:rsidP="00DB31FA">
            <w:pPr>
              <w:pStyle w:val="TableParagraph"/>
              <w:spacing w:before="190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</w:rPr>
              <w:t>MIGLIORIA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2A8ECF2D" w14:textId="12E10409" w:rsidR="000B3210" w:rsidRPr="00AD78BB" w:rsidRDefault="000B3210" w:rsidP="00DB31FA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</w:rPr>
              <w:t>OFFRE</w:t>
            </w:r>
          </w:p>
          <w:p w14:paraId="0408547A" w14:textId="77777777" w:rsidR="000B3210" w:rsidRDefault="000B3210" w:rsidP="00DB31FA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miglioria </w:t>
            </w:r>
          </w:p>
          <w:p w14:paraId="225EC09B" w14:textId="77777777" w:rsidR="000B3210" w:rsidRDefault="000B3210" w:rsidP="00DB31FA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E1FCB" w14:textId="77777777" w:rsidR="000B3210" w:rsidRDefault="000B3210" w:rsidP="00DB31FA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08C31" w14:textId="77777777" w:rsidR="000B3210" w:rsidRDefault="000B3210" w:rsidP="00DB31FA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EB6E2" w14:textId="42B17EF6" w:rsidR="000B3210" w:rsidRPr="00AD78BB" w:rsidRDefault="000B3210" w:rsidP="00DB31FA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</w:rPr>
              <w:t>(SI)</w:t>
            </w:r>
          </w:p>
        </w:tc>
        <w:tc>
          <w:tcPr>
            <w:tcW w:w="1569" w:type="dxa"/>
            <w:shd w:val="clear" w:color="auto" w:fill="D9D9D9"/>
          </w:tcPr>
          <w:p w14:paraId="20AAC529" w14:textId="04866945" w:rsidR="000B3210" w:rsidRPr="00993A4B" w:rsidRDefault="000B3210" w:rsidP="00DB31FA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93A4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NON OFFRE</w:t>
            </w:r>
          </w:p>
          <w:p w14:paraId="0DA96ADA" w14:textId="77777777" w:rsidR="000B3210" w:rsidRPr="00993A4B" w:rsidRDefault="000B3210" w:rsidP="00DB31FA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93A4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la miglioria </w:t>
            </w:r>
          </w:p>
          <w:p w14:paraId="7D3DB0B8" w14:textId="77777777" w:rsidR="000B3210" w:rsidRPr="00993A4B" w:rsidRDefault="000B3210" w:rsidP="00DB31FA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694B69F" w14:textId="77777777" w:rsidR="000B3210" w:rsidRPr="00993A4B" w:rsidRDefault="000B3210" w:rsidP="00DB31FA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25A6D31" w14:textId="48EF120F" w:rsidR="000B3210" w:rsidRPr="00993A4B" w:rsidRDefault="000B3210" w:rsidP="00DB31FA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93A4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(NO)</w:t>
            </w:r>
          </w:p>
        </w:tc>
      </w:tr>
      <w:tr w:rsidR="003F768F" w:rsidRPr="00AD78BB" w14:paraId="6CF2EC4E" w14:textId="77777777" w:rsidTr="000B3210">
        <w:trPr>
          <w:trHeight w:val="1702"/>
        </w:trPr>
        <w:tc>
          <w:tcPr>
            <w:tcW w:w="3119" w:type="dxa"/>
            <w:shd w:val="clear" w:color="auto" w:fill="FFC000"/>
          </w:tcPr>
          <w:p w14:paraId="2F8483E4" w14:textId="223AEA4A" w:rsidR="003F768F" w:rsidRPr="00993A4B" w:rsidRDefault="003F768F" w:rsidP="003F768F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</w:pPr>
            <w:r w:rsidRPr="0043472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  <w:t>Miglioramento del rivestimento di facciata (rif. Elaborato grafico COST_E_Arch_008_PROSPETTI E SIMULAZIONI GRAFICHE)</w:t>
            </w:r>
          </w:p>
        </w:tc>
        <w:tc>
          <w:tcPr>
            <w:tcW w:w="1975" w:type="dxa"/>
            <w:shd w:val="clear" w:color="auto" w:fill="auto"/>
          </w:tcPr>
          <w:p w14:paraId="705CCFFA" w14:textId="77777777" w:rsidR="003F768F" w:rsidRPr="00D02C04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2C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Finitura per esterni con rasatura a base di resine e cemento tipo 325</w:t>
            </w:r>
          </w:p>
          <w:p w14:paraId="51F47613" w14:textId="33A3AD19" w:rsidR="003F768F" w:rsidRPr="00993A4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2C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armato con rete e fibre di vetro colorazione tipo ROFIX 57028 (74%)</w:t>
            </w:r>
          </w:p>
        </w:tc>
        <w:tc>
          <w:tcPr>
            <w:tcW w:w="2278" w:type="dxa"/>
          </w:tcPr>
          <w:p w14:paraId="579C6F1A" w14:textId="77777777" w:rsidR="003F768F" w:rsidRPr="00D02C04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75F1608" w14:textId="77777777" w:rsidR="003F768F" w:rsidRPr="00D02C04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5DD05BB" w14:textId="77777777" w:rsidR="003F768F" w:rsidRPr="00D02C04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2C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01.A20.E30.005</w:t>
            </w:r>
          </w:p>
          <w:p w14:paraId="3F37011E" w14:textId="0B317BBA" w:rsidR="003F768F" w:rsidRPr="00AD78B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03.A04.B01.10</w:t>
            </w:r>
          </w:p>
        </w:tc>
        <w:tc>
          <w:tcPr>
            <w:tcW w:w="3250" w:type="dxa"/>
            <w:shd w:val="clear" w:color="auto" w:fill="auto"/>
          </w:tcPr>
          <w:p w14:paraId="2A629A2F" w14:textId="1657ABC0" w:rsidR="003F768F" w:rsidRPr="00993A4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02C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Fornitura e posa in opera di rivestimento esterno di facciata con NP 001 profilo irregolare speciale tipo "SQ-20/20-R, AIMg1 WellTec MN" in alluminio a greca verticale verniciato RAL 9006 compreso di sottostruttura in alluminio e telo antivento.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A918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9F0FA8C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CC8BE60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C7E9647" w14:textId="6B4BC46B" w:rsidR="003F768F" w:rsidRPr="00AD78BB" w:rsidRDefault="00087F3A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Si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14:paraId="4410552C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04470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E5328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F8DB" w14:textId="3F7C129C" w:rsidR="003F768F" w:rsidRPr="00AD78BB" w:rsidRDefault="00285968" w:rsidP="00285968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No</w:t>
            </w:r>
          </w:p>
        </w:tc>
      </w:tr>
      <w:tr w:rsidR="003F768F" w:rsidRPr="00AD78BB" w14:paraId="0656EBBE" w14:textId="77777777" w:rsidTr="000B3210">
        <w:trPr>
          <w:trHeight w:val="1692"/>
        </w:trPr>
        <w:tc>
          <w:tcPr>
            <w:tcW w:w="3119" w:type="dxa"/>
            <w:shd w:val="clear" w:color="auto" w:fill="FFC000"/>
          </w:tcPr>
          <w:p w14:paraId="3E606B31" w14:textId="48C94B1D" w:rsidR="003F768F" w:rsidRPr="00993A4B" w:rsidRDefault="003F768F" w:rsidP="003F768F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</w:pPr>
            <w:r w:rsidRPr="003A2A1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  <w:t>Modifica delle caratteristiche delle porte interne – Edificio scuola ed edificio palestra</w:t>
            </w:r>
          </w:p>
        </w:tc>
        <w:tc>
          <w:tcPr>
            <w:tcW w:w="1975" w:type="dxa"/>
            <w:shd w:val="clear" w:color="auto" w:fill="auto"/>
          </w:tcPr>
          <w:p w14:paraId="13FCFE36" w14:textId="33D57132" w:rsidR="003F768F" w:rsidRPr="00993A4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Porte interne in tamburato con pannello bilaminato nobilitato (tipologia come da elaborati e CSA)</w:t>
            </w:r>
          </w:p>
        </w:tc>
        <w:tc>
          <w:tcPr>
            <w:tcW w:w="2278" w:type="dxa"/>
          </w:tcPr>
          <w:p w14:paraId="0C7269D1" w14:textId="77777777" w:rsidR="003F768F" w:rsidRPr="003A2A14" w:rsidRDefault="003F768F" w:rsidP="003F768F">
            <w:pPr>
              <w:pStyle w:val="TableParagraph"/>
              <w:spacing w:line="244" w:lineRule="auto"/>
              <w:ind w:left="107" w:right="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F7BB073" w14:textId="1C521C51" w:rsidR="003F768F" w:rsidRPr="00AD78B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E7C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01.A17.B60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.015</w:t>
            </w:r>
          </w:p>
        </w:tc>
        <w:tc>
          <w:tcPr>
            <w:tcW w:w="3250" w:type="dxa"/>
            <w:shd w:val="clear" w:color="auto" w:fill="auto"/>
          </w:tcPr>
          <w:p w14:paraId="65C91F4C" w14:textId="6D53DE1F" w:rsidR="003F768F" w:rsidRPr="003A2A14" w:rsidRDefault="003F768F" w:rsidP="003F768F">
            <w:pPr>
              <w:pStyle w:val="TableParagraph"/>
              <w:spacing w:line="244" w:lineRule="auto"/>
              <w:ind w:left="107" w:right="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Porte ad alta resistenza tipo Novoferm Koralam o similar</w:t>
            </w:r>
            <w:r w:rsidR="00FA6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 anta costituita da due pareti esterne in laminato plastico supportati da MDF ad alta densità sp. 3,2 mm. Interno anta bordato con telaio perimet</w:t>
            </w:r>
            <w:r w:rsidR="006767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rale in legno di abete massello.</w:t>
            </w: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Contorno dell’anta con PVC incollato a caldo e rivestito in alluminio elettrocolore argento. Tipologia telaio abbracciante e colore e </w:t>
            </w:r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ﬁ</w:t>
            </w: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nitura secondo campionario laminati Abet</w:t>
            </w:r>
            <w:r w:rsidR="00FA6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 equivalente</w:t>
            </w:r>
            <w:r w:rsidRPr="003A2A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6BB11510" w14:textId="15151B68" w:rsidR="003F768F" w:rsidRPr="00993A4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8BA346B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A79B806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A959F22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AF59D00" w14:textId="2EA42DC2" w:rsidR="003F768F" w:rsidRPr="00AD78BB" w:rsidRDefault="00087F3A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Si</w:t>
            </w:r>
          </w:p>
        </w:tc>
        <w:tc>
          <w:tcPr>
            <w:tcW w:w="1569" w:type="dxa"/>
            <w:shd w:val="clear" w:color="auto" w:fill="auto"/>
          </w:tcPr>
          <w:p w14:paraId="0B4DDEF7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  <w:p w14:paraId="456F59D6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  <w:p w14:paraId="5BD631BE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  <w:p w14:paraId="2B94CBB0" w14:textId="3F4B15E2" w:rsidR="003F768F" w:rsidRPr="00AD78BB" w:rsidRDefault="00285968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No</w:t>
            </w:r>
          </w:p>
        </w:tc>
      </w:tr>
      <w:tr w:rsidR="003F768F" w:rsidRPr="00AD78BB" w14:paraId="15341F93" w14:textId="77777777" w:rsidTr="000B3210">
        <w:trPr>
          <w:trHeight w:val="1692"/>
        </w:trPr>
        <w:tc>
          <w:tcPr>
            <w:tcW w:w="3119" w:type="dxa"/>
            <w:shd w:val="clear" w:color="auto" w:fill="FFC000"/>
          </w:tcPr>
          <w:p w14:paraId="1B76345A" w14:textId="2D99DE5D" w:rsidR="003F768F" w:rsidRPr="00993A4B" w:rsidRDefault="003F768F" w:rsidP="003F768F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it-IT"/>
              </w:rPr>
              <w:lastRenderedPageBreak/>
              <w:t>impianti</w:t>
            </w:r>
          </w:p>
        </w:tc>
        <w:tc>
          <w:tcPr>
            <w:tcW w:w="1975" w:type="dxa"/>
            <w:shd w:val="clear" w:color="auto" w:fill="auto"/>
          </w:tcPr>
          <w:p w14:paraId="20C31B5E" w14:textId="75572B36" w:rsidR="003F768F" w:rsidRPr="00993A4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Miglioramento del sistema di gestione e controllo </w:t>
            </w:r>
          </w:p>
        </w:tc>
        <w:tc>
          <w:tcPr>
            <w:tcW w:w="2278" w:type="dxa"/>
          </w:tcPr>
          <w:p w14:paraId="77FDA13D" w14:textId="2C219C00" w:rsidR="003F768F" w:rsidRPr="0079597D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50" w:type="dxa"/>
            <w:shd w:val="clear" w:color="auto" w:fill="auto"/>
          </w:tcPr>
          <w:p w14:paraId="581F94EC" w14:textId="2DEE8533" w:rsidR="003F768F" w:rsidRPr="00993A4B" w:rsidRDefault="003F768F" w:rsidP="003F76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Miglioramento ed implementazione del sistema di gestione, regolazione e controllo dell’impianto di riscaldamento e ventilazione meccanica controllata tramite sistemi di building automation </w:t>
            </w:r>
          </w:p>
        </w:tc>
        <w:tc>
          <w:tcPr>
            <w:tcW w:w="1559" w:type="dxa"/>
            <w:shd w:val="clear" w:color="auto" w:fill="auto"/>
          </w:tcPr>
          <w:p w14:paraId="5B400E4A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3712332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66007BC" w14:textId="77777777" w:rsidR="003F768F" w:rsidRPr="00D02C04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4891DEB" w14:textId="149F5E19" w:rsidR="003F768F" w:rsidRPr="00AD78BB" w:rsidRDefault="00087F3A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8BB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Si</w:t>
            </w:r>
          </w:p>
        </w:tc>
        <w:tc>
          <w:tcPr>
            <w:tcW w:w="1569" w:type="dxa"/>
            <w:shd w:val="clear" w:color="auto" w:fill="auto"/>
          </w:tcPr>
          <w:p w14:paraId="0BAEEAF4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  <w:p w14:paraId="50785AB9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  <w:p w14:paraId="343D3B02" w14:textId="77777777" w:rsidR="003F768F" w:rsidRPr="00AD78BB" w:rsidRDefault="003F768F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  <w:p w14:paraId="6B4D72A5" w14:textId="34B3F3A4" w:rsidR="003F768F" w:rsidRPr="00AD78BB" w:rsidRDefault="00285968" w:rsidP="003F768F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No</w:t>
            </w:r>
          </w:p>
        </w:tc>
      </w:tr>
    </w:tbl>
    <w:p w14:paraId="7D6C9CC0" w14:textId="4C7EA313" w:rsidR="00DA1292" w:rsidRPr="00AD78BB" w:rsidRDefault="00DA1292">
      <w:pPr>
        <w:rPr>
          <w:rFonts w:ascii="Times New Roman" w:hAnsi="Times New Roman" w:cs="Times New Roman"/>
          <w:sz w:val="24"/>
          <w:szCs w:val="24"/>
        </w:rPr>
      </w:pPr>
    </w:p>
    <w:p w14:paraId="19CD3C38" w14:textId="718BE324" w:rsidR="00F63ACB" w:rsidRPr="00993A4B" w:rsidRDefault="00F63ACB" w:rsidP="00E57E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95E221" w14:textId="307E016B" w:rsidR="00F63ACB" w:rsidRPr="00993A4B" w:rsidRDefault="00F63ACB" w:rsidP="00E57E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3A4B">
        <w:rPr>
          <w:rFonts w:ascii="Times New Roman" w:hAnsi="Times New Roman" w:cs="Times New Roman"/>
          <w:sz w:val="24"/>
          <w:szCs w:val="24"/>
          <w:lang w:val="it-IT"/>
        </w:rPr>
        <w:t>Nel caso in cui il concorrente con riferimento ad una miglioria non provveda a crociare n</w:t>
      </w:r>
      <w:r w:rsidR="00155DF9" w:rsidRPr="00993A4B">
        <w:rPr>
          <w:rFonts w:ascii="Times New Roman" w:hAnsi="Times New Roman" w:cs="Times New Roman"/>
          <w:sz w:val="24"/>
          <w:szCs w:val="24"/>
          <w:lang w:val="it-IT"/>
        </w:rPr>
        <w:t>é</w:t>
      </w:r>
      <w:r w:rsidRPr="00993A4B">
        <w:rPr>
          <w:rFonts w:ascii="Times New Roman" w:hAnsi="Times New Roman" w:cs="Times New Roman"/>
          <w:sz w:val="24"/>
          <w:szCs w:val="24"/>
          <w:lang w:val="it-IT"/>
        </w:rPr>
        <w:t xml:space="preserve"> la casella </w:t>
      </w:r>
      <w:r w:rsidRPr="00993A4B">
        <w:rPr>
          <w:rFonts w:ascii="Times New Roman" w:hAnsi="Times New Roman" w:cs="Times New Roman"/>
          <w:sz w:val="24"/>
          <w:szCs w:val="24"/>
          <w:bdr w:val="single" w:sz="4" w:space="0" w:color="auto"/>
          <w:lang w:val="it-IT"/>
        </w:rPr>
        <w:t>SI</w:t>
      </w:r>
      <w:r w:rsidRPr="00993A4B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 w:rsidR="00155DF9" w:rsidRPr="00993A4B">
        <w:rPr>
          <w:rFonts w:ascii="Times New Roman" w:hAnsi="Times New Roman" w:cs="Times New Roman"/>
          <w:sz w:val="24"/>
          <w:szCs w:val="24"/>
          <w:lang w:val="it-IT"/>
        </w:rPr>
        <w:t>é</w:t>
      </w:r>
      <w:r w:rsidRPr="00993A4B">
        <w:rPr>
          <w:rFonts w:ascii="Times New Roman" w:hAnsi="Times New Roman" w:cs="Times New Roman"/>
          <w:sz w:val="24"/>
          <w:szCs w:val="24"/>
          <w:lang w:val="it-IT"/>
        </w:rPr>
        <w:t xml:space="preserve"> la casella </w:t>
      </w:r>
      <w:r w:rsidRPr="00993A4B">
        <w:rPr>
          <w:rFonts w:ascii="Times New Roman" w:hAnsi="Times New Roman" w:cs="Times New Roman"/>
          <w:sz w:val="24"/>
          <w:szCs w:val="24"/>
          <w:bdr w:val="single" w:sz="4" w:space="0" w:color="auto"/>
          <w:lang w:val="it-IT"/>
        </w:rPr>
        <w:t>NO</w:t>
      </w:r>
      <w:r w:rsidRPr="00993A4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82542">
        <w:rPr>
          <w:rFonts w:ascii="Times New Roman" w:hAnsi="Times New Roman" w:cs="Times New Roman"/>
          <w:sz w:val="24"/>
          <w:szCs w:val="24"/>
          <w:lang w:val="it-IT"/>
        </w:rPr>
        <w:t xml:space="preserve"> la miglioria si intenderà NON </w:t>
      </w:r>
      <w:r w:rsidRPr="00993A4B">
        <w:rPr>
          <w:rFonts w:ascii="Times New Roman" w:hAnsi="Times New Roman" w:cs="Times New Roman"/>
          <w:sz w:val="24"/>
          <w:szCs w:val="24"/>
          <w:lang w:val="it-IT"/>
        </w:rPr>
        <w:t>offerta.</w:t>
      </w:r>
    </w:p>
    <w:p w14:paraId="1477559B" w14:textId="411BDB26" w:rsidR="00367E26" w:rsidRPr="00993A4B" w:rsidRDefault="00367E26" w:rsidP="00E57E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72779C" w14:textId="77777777" w:rsidR="00367E26" w:rsidRPr="00993A4B" w:rsidRDefault="00367E26" w:rsidP="00367E2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C131A99" w14:textId="77777777" w:rsidR="00367E26" w:rsidRPr="00993A4B" w:rsidRDefault="00367E26" w:rsidP="00367E2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4B3115A" w14:textId="66B2F741" w:rsidR="00367E26" w:rsidRPr="0079597D" w:rsidRDefault="00367E26" w:rsidP="00367E2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9597D">
        <w:rPr>
          <w:rFonts w:ascii="Times New Roman" w:hAnsi="Times New Roman" w:cs="Times New Roman"/>
          <w:sz w:val="24"/>
          <w:szCs w:val="24"/>
          <w:lang w:val="it-IT"/>
        </w:rPr>
        <w:t>Firma digitale</w:t>
      </w:r>
      <w:r w:rsidR="002600D4" w:rsidRPr="0079597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60F18ED" w14:textId="77777777" w:rsidR="00AC10EA" w:rsidRPr="0079597D" w:rsidRDefault="00AC10EA" w:rsidP="00AC10EA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9597D">
        <w:rPr>
          <w:rFonts w:ascii="Times New Roman" w:hAnsi="Times New Roman" w:cs="Times New Roman"/>
          <w:sz w:val="24"/>
          <w:szCs w:val="24"/>
          <w:lang w:val="it-IT"/>
        </w:rPr>
        <w:t>Firma digitale</w:t>
      </w:r>
    </w:p>
    <w:p w14:paraId="7C3C03E0" w14:textId="77777777" w:rsidR="00AC10EA" w:rsidRPr="0079597D" w:rsidRDefault="00AC10EA" w:rsidP="00AC10EA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9597D">
        <w:rPr>
          <w:rFonts w:ascii="Times New Roman" w:hAnsi="Times New Roman" w:cs="Times New Roman"/>
          <w:sz w:val="24"/>
          <w:szCs w:val="24"/>
          <w:lang w:val="it-IT"/>
        </w:rPr>
        <w:t>Firma digitale</w:t>
      </w:r>
    </w:p>
    <w:p w14:paraId="3C5222D5" w14:textId="77777777" w:rsidR="00AC10EA" w:rsidRPr="0079597D" w:rsidRDefault="00AC10EA" w:rsidP="00367E2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C10EA" w:rsidRPr="0079597D" w:rsidSect="00020A1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5D52" w14:textId="77777777" w:rsidR="00B41617" w:rsidRDefault="00B41617" w:rsidP="00352F52">
      <w:r>
        <w:separator/>
      </w:r>
    </w:p>
  </w:endnote>
  <w:endnote w:type="continuationSeparator" w:id="0">
    <w:p w14:paraId="67E75E53" w14:textId="77777777" w:rsidR="00B41617" w:rsidRDefault="00B41617" w:rsidP="0035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7EF3" w14:textId="77777777" w:rsidR="00B41617" w:rsidRDefault="00B41617" w:rsidP="00352F52">
      <w:r>
        <w:separator/>
      </w:r>
    </w:p>
  </w:footnote>
  <w:footnote w:type="continuationSeparator" w:id="0">
    <w:p w14:paraId="39C131BD" w14:textId="77777777" w:rsidR="00B41617" w:rsidRDefault="00B41617" w:rsidP="00352F52">
      <w:r>
        <w:continuationSeparator/>
      </w:r>
    </w:p>
  </w:footnote>
  <w:footnote w:id="1">
    <w:p w14:paraId="421682A2" w14:textId="77777777" w:rsidR="006076EA" w:rsidRPr="006076EA" w:rsidRDefault="000B3210" w:rsidP="006076EA">
      <w:pPr>
        <w:pStyle w:val="Testonotaapidipagina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52178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993A4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076EA" w:rsidRPr="006076EA">
        <w:rPr>
          <w:rFonts w:ascii="Times New Roman" w:hAnsi="Times New Roman" w:cs="Times New Roman"/>
          <w:sz w:val="22"/>
          <w:szCs w:val="22"/>
          <w:lang w:val="it-IT"/>
        </w:rPr>
        <w:t>Si precisa quanto segue:</w:t>
      </w:r>
    </w:p>
    <w:p w14:paraId="749E5B4A" w14:textId="7A2108EF" w:rsidR="006076EA" w:rsidRPr="006076EA" w:rsidRDefault="006076EA" w:rsidP="006076EA">
      <w:pPr>
        <w:jc w:val="both"/>
        <w:rPr>
          <w:rFonts w:ascii="Times New Roman" w:hAnsi="Times New Roman" w:cs="Times New Roman"/>
          <w:lang w:val="it-IT"/>
        </w:rPr>
      </w:pPr>
      <w:r w:rsidRPr="006076EA">
        <w:rPr>
          <w:rFonts w:ascii="Times New Roman" w:hAnsi="Times New Roman" w:cs="Times New Roman"/>
          <w:lang w:val="it-IT"/>
        </w:rPr>
        <w:t xml:space="preserve">ciascun concorrente è altresì tenuto ad inserire nella busta telematica “C - offerta economica” il </w:t>
      </w:r>
      <w:r w:rsidRPr="006076EA">
        <w:rPr>
          <w:rFonts w:ascii="Times New Roman" w:hAnsi="Times New Roman" w:cs="Times New Roman"/>
          <w:b/>
          <w:lang w:val="it-IT"/>
        </w:rPr>
        <w:t>computo metrico estimativo</w:t>
      </w:r>
      <w:r w:rsidRPr="006076EA">
        <w:rPr>
          <w:rFonts w:ascii="Times New Roman" w:hAnsi="Times New Roman" w:cs="Times New Roman"/>
          <w:lang w:val="it-IT"/>
        </w:rPr>
        <w:t xml:space="preserve"> </w:t>
      </w:r>
      <w:r w:rsidRPr="006076EA">
        <w:rPr>
          <w:rFonts w:ascii="Times New Roman" w:hAnsi="Times New Roman" w:cs="Times New Roman"/>
          <w:b/>
          <w:lang w:val="it-IT"/>
        </w:rPr>
        <w:t xml:space="preserve">di </w:t>
      </w:r>
      <w:r w:rsidRPr="006076EA">
        <w:rPr>
          <w:rFonts w:ascii="Times New Roman" w:hAnsi="Times New Roman" w:cs="Times New Roman"/>
          <w:b/>
          <w:u w:val="single"/>
          <w:lang w:val="it-IT"/>
        </w:rPr>
        <w:t xml:space="preserve">ciascuna </w:t>
      </w:r>
      <w:r w:rsidRPr="006076EA">
        <w:rPr>
          <w:rFonts w:ascii="Times New Roman" w:hAnsi="Times New Roman" w:cs="Times New Roman"/>
          <w:b/>
          <w:lang w:val="it-IT"/>
        </w:rPr>
        <w:t>miglioria offerta</w:t>
      </w:r>
      <w:r w:rsidRPr="006076EA">
        <w:rPr>
          <w:rFonts w:ascii="Times New Roman" w:hAnsi="Times New Roman" w:cs="Times New Roman"/>
          <w:lang w:val="it-IT"/>
        </w:rPr>
        <w:t xml:space="preserve"> nei termini e modalità indicati al par.17, sub punto 3) del disciplinare di gara a cui si rinvia.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40B498F8" w14:textId="6CB0F712" w:rsidR="000B3210" w:rsidRPr="00993A4B" w:rsidRDefault="000B3210" w:rsidP="00E52178">
      <w:pPr>
        <w:pStyle w:val="Testonotaapidipagina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DD2"/>
    <w:multiLevelType w:val="hybridMultilevel"/>
    <w:tmpl w:val="BF64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4DCC"/>
    <w:multiLevelType w:val="hybridMultilevel"/>
    <w:tmpl w:val="741824CE"/>
    <w:lvl w:ilvl="0" w:tplc="43FEF58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3B9D"/>
    <w:multiLevelType w:val="hybridMultilevel"/>
    <w:tmpl w:val="8972693A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9"/>
    <w:rsid w:val="00004E01"/>
    <w:rsid w:val="00020A19"/>
    <w:rsid w:val="00064B53"/>
    <w:rsid w:val="00076A8C"/>
    <w:rsid w:val="00087F3A"/>
    <w:rsid w:val="00092700"/>
    <w:rsid w:val="000B3210"/>
    <w:rsid w:val="000B3B0C"/>
    <w:rsid w:val="000C4CCD"/>
    <w:rsid w:val="000C58AC"/>
    <w:rsid w:val="000E19B9"/>
    <w:rsid w:val="000E795F"/>
    <w:rsid w:val="000F4AF9"/>
    <w:rsid w:val="001017DD"/>
    <w:rsid w:val="00112F64"/>
    <w:rsid w:val="00144978"/>
    <w:rsid w:val="00154B71"/>
    <w:rsid w:val="00155DF9"/>
    <w:rsid w:val="0016155B"/>
    <w:rsid w:val="00165466"/>
    <w:rsid w:val="00180AE5"/>
    <w:rsid w:val="00187807"/>
    <w:rsid w:val="00192F4E"/>
    <w:rsid w:val="001B15ED"/>
    <w:rsid w:val="001D6552"/>
    <w:rsid w:val="001D6566"/>
    <w:rsid w:val="001E6F9D"/>
    <w:rsid w:val="00223B77"/>
    <w:rsid w:val="00233DF3"/>
    <w:rsid w:val="00253A79"/>
    <w:rsid w:val="00256C28"/>
    <w:rsid w:val="002600D4"/>
    <w:rsid w:val="00285968"/>
    <w:rsid w:val="002A21B9"/>
    <w:rsid w:val="002A3DF8"/>
    <w:rsid w:val="002A70D0"/>
    <w:rsid w:val="002D124B"/>
    <w:rsid w:val="002E2B96"/>
    <w:rsid w:val="002E5AB3"/>
    <w:rsid w:val="002F09B7"/>
    <w:rsid w:val="003023A2"/>
    <w:rsid w:val="00342396"/>
    <w:rsid w:val="00352F52"/>
    <w:rsid w:val="00354314"/>
    <w:rsid w:val="00367E26"/>
    <w:rsid w:val="00382542"/>
    <w:rsid w:val="003864DD"/>
    <w:rsid w:val="00393239"/>
    <w:rsid w:val="00396719"/>
    <w:rsid w:val="0039707A"/>
    <w:rsid w:val="003B26F3"/>
    <w:rsid w:val="003D1CAB"/>
    <w:rsid w:val="003F768F"/>
    <w:rsid w:val="00407BBD"/>
    <w:rsid w:val="004271DB"/>
    <w:rsid w:val="00430F78"/>
    <w:rsid w:val="004435C3"/>
    <w:rsid w:val="004C20B6"/>
    <w:rsid w:val="004D08FF"/>
    <w:rsid w:val="004D301C"/>
    <w:rsid w:val="004D4BDD"/>
    <w:rsid w:val="004D5250"/>
    <w:rsid w:val="004E5B62"/>
    <w:rsid w:val="004F6E04"/>
    <w:rsid w:val="0051484B"/>
    <w:rsid w:val="0052053B"/>
    <w:rsid w:val="00524955"/>
    <w:rsid w:val="00550516"/>
    <w:rsid w:val="005654ED"/>
    <w:rsid w:val="005B022D"/>
    <w:rsid w:val="005B3712"/>
    <w:rsid w:val="005C3BAE"/>
    <w:rsid w:val="005E1CFE"/>
    <w:rsid w:val="005E6063"/>
    <w:rsid w:val="006076EA"/>
    <w:rsid w:val="00623574"/>
    <w:rsid w:val="0063260E"/>
    <w:rsid w:val="00635B7D"/>
    <w:rsid w:val="006767E2"/>
    <w:rsid w:val="00682CDF"/>
    <w:rsid w:val="00693668"/>
    <w:rsid w:val="006A2C0A"/>
    <w:rsid w:val="006A6A7A"/>
    <w:rsid w:val="006B196B"/>
    <w:rsid w:val="006B4754"/>
    <w:rsid w:val="006F34B9"/>
    <w:rsid w:val="0071644C"/>
    <w:rsid w:val="00727917"/>
    <w:rsid w:val="00732D42"/>
    <w:rsid w:val="0074600E"/>
    <w:rsid w:val="00753736"/>
    <w:rsid w:val="007727C5"/>
    <w:rsid w:val="007821EE"/>
    <w:rsid w:val="0079597D"/>
    <w:rsid w:val="007B3B03"/>
    <w:rsid w:val="007B79FB"/>
    <w:rsid w:val="007C0208"/>
    <w:rsid w:val="007D34AA"/>
    <w:rsid w:val="007E178C"/>
    <w:rsid w:val="007F484A"/>
    <w:rsid w:val="0080110C"/>
    <w:rsid w:val="0080344A"/>
    <w:rsid w:val="0080546F"/>
    <w:rsid w:val="0082220C"/>
    <w:rsid w:val="008257A7"/>
    <w:rsid w:val="0087093C"/>
    <w:rsid w:val="008854E8"/>
    <w:rsid w:val="008C0183"/>
    <w:rsid w:val="008D5BC8"/>
    <w:rsid w:val="009052C7"/>
    <w:rsid w:val="00906406"/>
    <w:rsid w:val="00921B87"/>
    <w:rsid w:val="009234F4"/>
    <w:rsid w:val="00925B7A"/>
    <w:rsid w:val="00962138"/>
    <w:rsid w:val="00962B11"/>
    <w:rsid w:val="00985E57"/>
    <w:rsid w:val="0099123D"/>
    <w:rsid w:val="00993A4B"/>
    <w:rsid w:val="009B72C3"/>
    <w:rsid w:val="009F2AA9"/>
    <w:rsid w:val="00A35F6D"/>
    <w:rsid w:val="00A46711"/>
    <w:rsid w:val="00A6081E"/>
    <w:rsid w:val="00A63399"/>
    <w:rsid w:val="00A76DFB"/>
    <w:rsid w:val="00A77D72"/>
    <w:rsid w:val="00AB6830"/>
    <w:rsid w:val="00AC10EA"/>
    <w:rsid w:val="00AD78BB"/>
    <w:rsid w:val="00AE1659"/>
    <w:rsid w:val="00B3073E"/>
    <w:rsid w:val="00B344DF"/>
    <w:rsid w:val="00B403EE"/>
    <w:rsid w:val="00B41617"/>
    <w:rsid w:val="00B41AD5"/>
    <w:rsid w:val="00B45B22"/>
    <w:rsid w:val="00B46A76"/>
    <w:rsid w:val="00B828B8"/>
    <w:rsid w:val="00B93BD2"/>
    <w:rsid w:val="00B93E6F"/>
    <w:rsid w:val="00B96B3A"/>
    <w:rsid w:val="00BC456A"/>
    <w:rsid w:val="00BE10F4"/>
    <w:rsid w:val="00BE537C"/>
    <w:rsid w:val="00C0572F"/>
    <w:rsid w:val="00C127D3"/>
    <w:rsid w:val="00C37A6B"/>
    <w:rsid w:val="00C45880"/>
    <w:rsid w:val="00C57023"/>
    <w:rsid w:val="00C6099D"/>
    <w:rsid w:val="00C818CE"/>
    <w:rsid w:val="00C95FE4"/>
    <w:rsid w:val="00C9689F"/>
    <w:rsid w:val="00C96A52"/>
    <w:rsid w:val="00CB2D53"/>
    <w:rsid w:val="00CB6A12"/>
    <w:rsid w:val="00CC102E"/>
    <w:rsid w:val="00CD0DA2"/>
    <w:rsid w:val="00D15AEF"/>
    <w:rsid w:val="00D26378"/>
    <w:rsid w:val="00D409F9"/>
    <w:rsid w:val="00D45E4A"/>
    <w:rsid w:val="00D611D6"/>
    <w:rsid w:val="00D96BD7"/>
    <w:rsid w:val="00D97D73"/>
    <w:rsid w:val="00DA1292"/>
    <w:rsid w:val="00E16EE9"/>
    <w:rsid w:val="00E35B5E"/>
    <w:rsid w:val="00E3701B"/>
    <w:rsid w:val="00E52178"/>
    <w:rsid w:val="00E53A98"/>
    <w:rsid w:val="00E57E73"/>
    <w:rsid w:val="00E650C0"/>
    <w:rsid w:val="00E67DFC"/>
    <w:rsid w:val="00E81F4A"/>
    <w:rsid w:val="00E828C8"/>
    <w:rsid w:val="00EA66A3"/>
    <w:rsid w:val="00F140FB"/>
    <w:rsid w:val="00F34088"/>
    <w:rsid w:val="00F43A4D"/>
    <w:rsid w:val="00F5070E"/>
    <w:rsid w:val="00F5361E"/>
    <w:rsid w:val="00F54B39"/>
    <w:rsid w:val="00F63ACB"/>
    <w:rsid w:val="00F66B2F"/>
    <w:rsid w:val="00F7589A"/>
    <w:rsid w:val="00FA6247"/>
    <w:rsid w:val="00FA728F"/>
    <w:rsid w:val="00FB08B4"/>
    <w:rsid w:val="00FB38CD"/>
    <w:rsid w:val="00FC4563"/>
    <w:rsid w:val="00FE561A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7BEF"/>
  <w15:chartTrackingRefBased/>
  <w15:docId w15:val="{B71FAEC7-89C7-4510-9BD8-FE19CD3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6F3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2A3DF8"/>
    <w:pPr>
      <w:ind w:left="121"/>
      <w:jc w:val="both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A19"/>
    <w:rPr>
      <w:rFonts w:ascii="Arial Narrow" w:eastAsia="Arial Narrow" w:hAnsi="Arial Narrow" w:cs="Arial Narrow"/>
    </w:rPr>
  </w:style>
  <w:style w:type="character" w:styleId="Enfasigrassetto">
    <w:name w:val="Strong"/>
    <w:basedOn w:val="Carpredefinitoparagrafo"/>
    <w:uiPriority w:val="22"/>
    <w:qFormat/>
    <w:rsid w:val="00256C2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2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52"/>
    <w:rPr>
      <w:rFonts w:ascii="Helvetica" w:eastAsia="Helvetica" w:hAnsi="Helvetica" w:cs="Helvetic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52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52"/>
    <w:rPr>
      <w:rFonts w:ascii="Helvetica" w:eastAsia="Helvetica" w:hAnsi="Helvetica" w:cs="Helvetica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3DF8"/>
    <w:rPr>
      <w:rFonts w:ascii="Helvetica" w:eastAsia="Helvetica" w:hAnsi="Helvetica" w:cs="Helvetica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A3DF8"/>
    <w:pPr>
      <w:ind w:left="121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3DF8"/>
    <w:rPr>
      <w:rFonts w:ascii="Helvetica" w:eastAsia="Helvetica" w:hAnsi="Helvetica" w:cs="Helvetica"/>
      <w:sz w:val="21"/>
      <w:szCs w:val="21"/>
      <w:lang w:val="en-US"/>
    </w:rPr>
  </w:style>
  <w:style w:type="paragraph" w:styleId="Paragrafoelenco">
    <w:name w:val="List Paragraph"/>
    <w:basedOn w:val="Normale"/>
    <w:qFormat/>
    <w:rsid w:val="005249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2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24B"/>
    <w:rPr>
      <w:rFonts w:ascii="Helvetica" w:eastAsia="Helvetica" w:hAnsi="Helvetica" w:cs="Helvetica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24B"/>
    <w:rPr>
      <w:vertAlign w:val="superscript"/>
    </w:rPr>
  </w:style>
  <w:style w:type="paragraph" w:styleId="Revisione">
    <w:name w:val="Revision"/>
    <w:hidden/>
    <w:uiPriority w:val="99"/>
    <w:semiHidden/>
    <w:rsid w:val="00A77D72"/>
    <w:pPr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BD2"/>
    <w:rPr>
      <w:rFonts w:ascii="Segoe UI" w:eastAsia="Helvetica" w:hAnsi="Segoe UI" w:cs="Segoe UI"/>
      <w:sz w:val="18"/>
      <w:szCs w:val="1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7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D7A0-0416-4FEA-A2B6-7BD9D8D9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Valente</dc:creator>
  <cp:keywords/>
  <dc:description/>
  <cp:lastModifiedBy>alessandro carlo licci marini</cp:lastModifiedBy>
  <cp:revision>5</cp:revision>
  <dcterms:created xsi:type="dcterms:W3CDTF">2021-08-25T19:56:00Z</dcterms:created>
  <dcterms:modified xsi:type="dcterms:W3CDTF">2021-08-27T12:57:00Z</dcterms:modified>
</cp:coreProperties>
</file>